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352DAD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9D" w:rsidRDefault="00ED5E9D" w:rsidP="00F94A71">
      <w:pPr>
        <w:spacing w:after="0" w:line="240" w:lineRule="auto"/>
      </w:pPr>
      <w:r>
        <w:separator/>
      </w:r>
    </w:p>
  </w:endnote>
  <w:endnote w:type="continuationSeparator" w:id="0">
    <w:p w:rsidR="00ED5E9D" w:rsidRDefault="00ED5E9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9D" w:rsidRDefault="00ED5E9D" w:rsidP="00F94A71">
      <w:pPr>
        <w:spacing w:after="0" w:line="240" w:lineRule="auto"/>
      </w:pPr>
      <w:r>
        <w:separator/>
      </w:r>
    </w:p>
  </w:footnote>
  <w:footnote w:type="continuationSeparator" w:id="0">
    <w:p w:rsidR="00ED5E9D" w:rsidRDefault="00ED5E9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52DAD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ED5E9D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5AF2-DE70-4E0E-9F8A-BE5456AC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2017-03-24T03:32:00Z</dcterms:modified>
</cp:coreProperties>
</file>