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1" w:rsidRDefault="00DB552D" w:rsidP="00E0268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PERFIL DEL</w:t>
      </w:r>
      <w:r w:rsidR="00447ED7" w:rsidRPr="00E02681">
        <w:rPr>
          <w:rFonts w:cstheme="minorHAnsi"/>
          <w:b/>
          <w:sz w:val="24"/>
          <w:szCs w:val="24"/>
        </w:rPr>
        <w:t xml:space="preserve"> </w:t>
      </w:r>
      <w:r w:rsidR="0005707D">
        <w:rPr>
          <w:rFonts w:cstheme="minorHAnsi"/>
          <w:b/>
          <w:sz w:val="24"/>
          <w:szCs w:val="24"/>
        </w:rPr>
        <w:t>ADMINSTRADOR (A) DE INCUBADORA</w:t>
      </w:r>
    </w:p>
    <w:p w:rsidR="0005707D" w:rsidRDefault="0005707D" w:rsidP="00E02681">
      <w:pPr>
        <w:jc w:val="center"/>
        <w:rPr>
          <w:rFonts w:cstheme="minorHAnsi"/>
          <w:b/>
          <w:sz w:val="24"/>
          <w:szCs w:val="24"/>
        </w:rPr>
      </w:pPr>
    </w:p>
    <w:p w:rsidR="0005707D" w:rsidRDefault="0005707D" w:rsidP="0005707D">
      <w:pPr>
        <w:jc w:val="both"/>
      </w:pPr>
      <w:r w:rsidRPr="00846C25">
        <w:rPr>
          <w:b/>
        </w:rPr>
        <w:t>B) INCUBADORAS DE EMPRESAS PARA PROYECTOS PRODUCTIVOS DE COLEGIOS TÉCNICOS PROFESIONALES</w:t>
      </w:r>
      <w:r>
        <w:t xml:space="preserve"> Naturaleza del recargo: Esta dentro de las funciones de la Dirección de Educación Técnica y Capacidades Emprendedoras (DETCE-MEP), el desarrollo de un programa de incubadoras de empresas a nivel nacional, esta función ha sido asignada al Departamento de Gestión de Empresas y Educación Cooperativa (DGEEC-MEP), el cual la ha venido desarrollando desde el año 2012. Para el funcionamiento de estas incubadoras es necesario un docente técnico del área de contabilidad, administración o finanzas que trabaje con horario completo como administrador de la misma, desarrollando funciones de atención hacia los incubados y en las actividades de gestión de recursos y apoyos provenientes de otras instituciones, ya sean estas del sector público o privado.</w:t>
      </w:r>
    </w:p>
    <w:p w:rsidR="00846C25" w:rsidRDefault="0005707D" w:rsidP="0005707D">
      <w:pPr>
        <w:jc w:val="both"/>
        <w:rPr>
          <w:b/>
        </w:rPr>
      </w:pPr>
      <w:r w:rsidRPr="00846C25">
        <w:rPr>
          <w:b/>
        </w:rPr>
        <w:t>Funciones:</w:t>
      </w:r>
    </w:p>
    <w:p w:rsidR="00846C25" w:rsidRDefault="0005707D" w:rsidP="00846C25">
      <w:pPr>
        <w:pStyle w:val="Prrafodelista"/>
        <w:numPr>
          <w:ilvl w:val="0"/>
          <w:numId w:val="10"/>
        </w:numPr>
        <w:jc w:val="both"/>
      </w:pPr>
      <w:r>
        <w:t>Establece las acciones de localización, seguimiento y monitoreo de los proyectos que ingresen a la incubadora</w:t>
      </w:r>
      <w:r w:rsidR="009E2314">
        <w:t>.</w:t>
      </w:r>
    </w:p>
    <w:p w:rsidR="00846C25" w:rsidRDefault="0005707D" w:rsidP="00846C25">
      <w:pPr>
        <w:pStyle w:val="Prrafodelista"/>
        <w:numPr>
          <w:ilvl w:val="0"/>
          <w:numId w:val="10"/>
        </w:numPr>
        <w:jc w:val="both"/>
      </w:pPr>
      <w:r>
        <w:t>Divulga el proyecto de incubadoras de empresas con el personal docente de las otras instituciones de la Región, egresados y empresas.</w:t>
      </w:r>
    </w:p>
    <w:p w:rsidR="00846C25" w:rsidRDefault="0005707D" w:rsidP="00846C25">
      <w:pPr>
        <w:pStyle w:val="Prrafodelista"/>
        <w:numPr>
          <w:ilvl w:val="0"/>
          <w:numId w:val="10"/>
        </w:numPr>
        <w:jc w:val="both"/>
      </w:pPr>
      <w:r>
        <w:t>Gestiona el apoyo a proyectos de la incubadora con empresas e instituciones de la comunidad.</w:t>
      </w:r>
    </w:p>
    <w:p w:rsidR="00846C25" w:rsidRDefault="0005707D" w:rsidP="00846C25">
      <w:pPr>
        <w:pStyle w:val="Prrafodelista"/>
        <w:numPr>
          <w:ilvl w:val="0"/>
          <w:numId w:val="10"/>
        </w:numPr>
        <w:jc w:val="both"/>
      </w:pPr>
      <w:r>
        <w:t>Coordina con la Dirección de Educación Técnica y Capacidades Emprendedoras, las acciones desarrolladas.</w:t>
      </w:r>
    </w:p>
    <w:p w:rsidR="0005707D" w:rsidRDefault="0005707D" w:rsidP="0005707D">
      <w:pPr>
        <w:pStyle w:val="Prrafodelista"/>
        <w:numPr>
          <w:ilvl w:val="0"/>
          <w:numId w:val="10"/>
        </w:numPr>
        <w:jc w:val="both"/>
      </w:pPr>
      <w:r>
        <w:t>Establece los procesos de capacitación requeridos para el adecuado desempeño de las acciones dentro de la incubadora.</w:t>
      </w:r>
    </w:p>
    <w:p w:rsidR="00846C25" w:rsidRPr="00F746A9" w:rsidRDefault="0005707D" w:rsidP="0005707D">
      <w:pPr>
        <w:jc w:val="both"/>
        <w:rPr>
          <w:b/>
        </w:rPr>
      </w:pPr>
      <w:r w:rsidRPr="00F746A9">
        <w:rPr>
          <w:b/>
        </w:rPr>
        <w:t>Centros educativos autorizados para desarrollar el p</w:t>
      </w:r>
      <w:r w:rsidR="00846C25" w:rsidRPr="00F746A9">
        <w:rPr>
          <w:b/>
        </w:rPr>
        <w:t>royecto:</w:t>
      </w:r>
    </w:p>
    <w:p w:rsidR="00846C25" w:rsidRDefault="0005707D" w:rsidP="00846C25">
      <w:pPr>
        <w:pStyle w:val="Prrafodelista"/>
        <w:numPr>
          <w:ilvl w:val="0"/>
          <w:numId w:val="11"/>
        </w:numPr>
        <w:jc w:val="both"/>
      </w:pPr>
      <w:r>
        <w:t>CTP Regional de San Carlos, código presup</w:t>
      </w:r>
      <w:r w:rsidR="00846C25">
        <w:t>uestario 4183, DRE San Carlos.</w:t>
      </w:r>
    </w:p>
    <w:p w:rsidR="00846C25" w:rsidRDefault="0005707D" w:rsidP="00846C25">
      <w:pPr>
        <w:pStyle w:val="Prrafodelista"/>
        <w:numPr>
          <w:ilvl w:val="0"/>
          <w:numId w:val="11"/>
        </w:numPr>
        <w:jc w:val="both"/>
      </w:pPr>
      <w:r>
        <w:t>CTP Liverpool, código p</w:t>
      </w:r>
      <w:r w:rsidR="00846C25">
        <w:t>resupuestario 6579. DRE Limón.</w:t>
      </w:r>
    </w:p>
    <w:p w:rsidR="00846C25" w:rsidRDefault="0005707D" w:rsidP="00846C25">
      <w:pPr>
        <w:pStyle w:val="Prrafodelista"/>
        <w:numPr>
          <w:ilvl w:val="0"/>
          <w:numId w:val="11"/>
        </w:numPr>
        <w:jc w:val="both"/>
      </w:pPr>
      <w:r>
        <w:t>CTP Carlos Manuel Vicente Castro, código p</w:t>
      </w:r>
      <w:r w:rsidR="00846C25">
        <w:t>resupuestario 4214, DRE Coto.</w:t>
      </w:r>
    </w:p>
    <w:p w:rsidR="00846C25" w:rsidRDefault="0005707D" w:rsidP="0005707D">
      <w:pPr>
        <w:pStyle w:val="Prrafodelista"/>
        <w:numPr>
          <w:ilvl w:val="0"/>
          <w:numId w:val="11"/>
        </w:numPr>
        <w:jc w:val="both"/>
      </w:pPr>
      <w:r>
        <w:t xml:space="preserve">CTP Calle Zamora, código presupuestario 6535, DRE Occidente. </w:t>
      </w:r>
    </w:p>
    <w:p w:rsidR="00F746A9" w:rsidRPr="00F746A9" w:rsidRDefault="0005707D" w:rsidP="0005707D">
      <w:pPr>
        <w:jc w:val="both"/>
        <w:rPr>
          <w:b/>
        </w:rPr>
      </w:pPr>
      <w:r w:rsidRPr="00F746A9">
        <w:rPr>
          <w:b/>
        </w:rPr>
        <w:t xml:space="preserve">Requisitos de funcionario a quién se le otorga el recargo: </w:t>
      </w:r>
    </w:p>
    <w:p w:rsidR="00F746A9" w:rsidRDefault="0005707D" w:rsidP="0005707D">
      <w:pPr>
        <w:jc w:val="both"/>
      </w:pPr>
      <w:r>
        <w:t xml:space="preserve">Contar con nombramiento en la clase de puesto Profesor de Enseñanza Técnico Profesional (G. de E.), especialidad: Contabilidad, Administración o Banca y Finanzas, con grupo profesional mínimo VT-6. </w:t>
      </w:r>
    </w:p>
    <w:p w:rsidR="00F746A9" w:rsidRDefault="0005707D" w:rsidP="0005707D">
      <w:pPr>
        <w:jc w:val="both"/>
      </w:pPr>
      <w:r w:rsidRPr="00F746A9">
        <w:rPr>
          <w:b/>
        </w:rPr>
        <w:t>Remuneración:</w:t>
      </w:r>
      <w:r>
        <w:t xml:space="preserve"> 40 Lecciones de 60 minutos. Por la formación requerida y la necesaria permanencia de un docente en este puesto, se hace necesario que la remuneración recibida por este profesional sea</w:t>
      </w:r>
      <w:r w:rsidR="00F746A9">
        <w:t xml:space="preserve"> </w:t>
      </w:r>
      <w:r>
        <w:t xml:space="preserve">equivalente a la que recibe un docente que imparte lecciones en el área técnica de un colegio. </w:t>
      </w:r>
    </w:p>
    <w:p w:rsidR="0005707D" w:rsidRDefault="0005707D" w:rsidP="0005707D">
      <w:pPr>
        <w:jc w:val="both"/>
      </w:pPr>
      <w:r>
        <w:t xml:space="preserve">En el caso contrario no se aseguraría la permanencia de un mismo compañero entre un año y el siguiente; provocando inestabilidad en las acciones ejecutadas, ya que las capacitaciones y la </w:t>
      </w:r>
      <w:r>
        <w:lastRenderedPageBreak/>
        <w:t>experiencia adquirida por un compañero en un año de trabajo, no tendría ningún efecto en el periodo siguiente, debido al constante cambio de profesionales en el puesto solicitado</w:t>
      </w:r>
      <w:r w:rsidR="009D6FC7">
        <w:t>.</w:t>
      </w:r>
    </w:p>
    <w:p w:rsidR="009D6FC7" w:rsidRDefault="009D6FC7" w:rsidP="0005707D">
      <w:pPr>
        <w:jc w:val="both"/>
        <w:rPr>
          <w:color w:val="5B9BD5" w:themeColor="accent1"/>
        </w:rPr>
      </w:pPr>
      <w:r>
        <w:t xml:space="preserve">Fuente: </w:t>
      </w:r>
      <w:r w:rsidRPr="009D6FC7">
        <w:rPr>
          <w:color w:val="5B9BD5" w:themeColor="accent1"/>
        </w:rPr>
        <w:t>RESOLUCION MEP-0272-2022</w:t>
      </w: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Default="007271DE" w:rsidP="0005707D">
      <w:pPr>
        <w:jc w:val="both"/>
        <w:rPr>
          <w:color w:val="5B9BD5" w:themeColor="accent1"/>
        </w:rPr>
      </w:pPr>
    </w:p>
    <w:p w:rsidR="007271DE" w:rsidRPr="00E02681" w:rsidRDefault="007271DE" w:rsidP="007271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PERFIL DEL</w:t>
      </w:r>
      <w:r w:rsidRPr="00E026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GESTOR DE INNOVACIÓN</w:t>
      </w:r>
    </w:p>
    <w:p w:rsidR="007271DE" w:rsidRPr="00E02681" w:rsidRDefault="007271DE" w:rsidP="007271DE">
      <w:pPr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E02681">
        <w:rPr>
          <w:rFonts w:cstheme="minorHAnsi"/>
          <w:b/>
          <w:noProof/>
          <w:sz w:val="24"/>
          <w:szCs w:val="24"/>
          <w:lang w:val="es-ES"/>
        </w:rPr>
        <w:t xml:space="preserve">Descrpción conceptual: </w:t>
      </w:r>
    </w:p>
    <w:p w:rsidR="007271DE" w:rsidRDefault="007271DE" w:rsidP="007271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  <w:t>Para el MICITT (Ministerio de Ciencia Innovacion, Tecnologia y Telecomunicaciones) en su página web define esta figura como: “…</w:t>
      </w:r>
      <w:r w:rsidRPr="009D65E9"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  <w:t>Un Gestor de Innovación es una persona capaz de liderar proyectos de innovación en las empresas privadas o instituciones públicas y funge como agente de cambio para la búsqueda constante de nuevas formas de hacer las cosas y mejorar la productividad</w:t>
      </w:r>
      <w:r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  <w:t>…”</w:t>
      </w:r>
    </w:p>
    <w:p w:rsidR="007271DE" w:rsidRPr="00C1797B" w:rsidRDefault="007271DE" w:rsidP="00727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</w:pPr>
      <w:r w:rsidRPr="00C1797B"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  <w:t xml:space="preserve">Asimismo, el Ministerio de Educación Pública, asigna el DGEEC como ente encargado de coordinar los procesos con las incubadoras y en conjunto con el MICITT buscarán dinamizar los procesos de innovación en los jóvenes egresados del sistema educativo. </w:t>
      </w:r>
    </w:p>
    <w:p w:rsidR="007271DE" w:rsidRPr="009D65E9" w:rsidRDefault="007271DE" w:rsidP="007271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val="es-ES" w:eastAsia="ja-JP"/>
        </w:rPr>
        <w:t xml:space="preserve">Para lograr ese cometido el gestor de innovación deberá inscribirse ante el MICITT cumpliendo los requisitos indicados para tal fin. </w:t>
      </w:r>
    </w:p>
    <w:p w:rsidR="007271DE" w:rsidRPr="00265ED3" w:rsidRDefault="007271DE" w:rsidP="007271DE">
      <w:pPr>
        <w:pStyle w:val="Ttulo2"/>
        <w:shd w:val="clear" w:color="auto" w:fill="FFFFFF"/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val="es-ES" w:eastAsia="ja-JP"/>
        </w:rPr>
      </w:pPr>
    </w:p>
    <w:p w:rsidR="007271DE" w:rsidRPr="00ED4B30" w:rsidRDefault="007271DE" w:rsidP="00727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sz w:val="24"/>
          <w:szCs w:val="24"/>
          <w:highlight w:val="yellow"/>
          <w:lang w:val="es-ES"/>
        </w:rPr>
      </w:pPr>
      <w:r w:rsidRPr="00ED4B30">
        <w:rPr>
          <w:rFonts w:cstheme="minorHAnsi"/>
          <w:b/>
          <w:noProof/>
          <w:sz w:val="24"/>
          <w:szCs w:val="24"/>
          <w:lang w:val="es-ES"/>
        </w:rPr>
        <w:t>Funcione</w:t>
      </w:r>
      <w:r>
        <w:rPr>
          <w:rFonts w:cstheme="minorHAnsi"/>
          <w:b/>
          <w:noProof/>
          <w:sz w:val="24"/>
          <w:szCs w:val="24"/>
          <w:lang w:val="es-ES"/>
        </w:rPr>
        <w:t>s establecidas para el gestor</w:t>
      </w:r>
      <w:r w:rsidRPr="00ED4B30">
        <w:rPr>
          <w:rFonts w:cstheme="minorHAnsi"/>
          <w:b/>
          <w:noProof/>
          <w:sz w:val="24"/>
          <w:szCs w:val="24"/>
          <w:lang w:val="es-ES"/>
        </w:rPr>
        <w:t>:</w:t>
      </w:r>
    </w:p>
    <w:p w:rsidR="007271DE" w:rsidRPr="00E02681" w:rsidRDefault="007271DE" w:rsidP="00727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highlight w:val="red"/>
          <w:lang w:val="es-ES"/>
        </w:rPr>
      </w:pPr>
    </w:p>
    <w:p w:rsidR="007271DE" w:rsidRPr="008C6982" w:rsidRDefault="007271DE" w:rsidP="007271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8C6982">
        <w:rPr>
          <w:rFonts w:cstheme="minorHAnsi"/>
          <w:noProof/>
          <w:color w:val="000000" w:themeColor="text1"/>
          <w:sz w:val="24"/>
          <w:szCs w:val="24"/>
          <w:lang w:val="es-ES"/>
        </w:rPr>
        <w:t>Inscribirse ante el MICITT como gestor de innovación.</w:t>
      </w:r>
    </w:p>
    <w:p w:rsidR="007271DE" w:rsidRPr="008C6982" w:rsidRDefault="007271DE" w:rsidP="007271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8C6982">
        <w:rPr>
          <w:rFonts w:cstheme="minorHAnsi"/>
          <w:noProof/>
          <w:color w:val="000000" w:themeColor="text1"/>
          <w:sz w:val="24"/>
          <w:szCs w:val="24"/>
          <w:lang w:val="es-ES"/>
        </w:rPr>
        <w:t>Brindar apoyo a la Unidad Técnica de Formación en el tema de Innovación.</w:t>
      </w:r>
    </w:p>
    <w:p w:rsidR="007271DE" w:rsidRPr="008C6982" w:rsidRDefault="007271DE" w:rsidP="007271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8C6982">
        <w:rPr>
          <w:rFonts w:cstheme="minorHAnsi"/>
          <w:noProof/>
          <w:color w:val="000000" w:themeColor="text1"/>
          <w:sz w:val="24"/>
          <w:szCs w:val="24"/>
          <w:lang w:val="es-ES"/>
        </w:rPr>
        <w:t>Crear estrategias de innovación : Define el rol de la innovación así como la dirección que tomará la ejecución, ya sea en producto, proceso, organización o marketing , es decir, delimitará las ideas creativas que surgen de todas las personas colaboradoras en el proceso de innovar.</w:t>
      </w:r>
    </w:p>
    <w:p w:rsidR="007271DE" w:rsidRPr="008C6982" w:rsidRDefault="007271DE" w:rsidP="007271D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8C6982">
        <w:rPr>
          <w:rFonts w:cstheme="minorHAnsi"/>
          <w:noProof/>
          <w:color w:val="000000" w:themeColor="text1"/>
          <w:sz w:val="24"/>
          <w:szCs w:val="24"/>
          <w:lang w:val="es-ES"/>
        </w:rPr>
        <w:t>Implementar técnicas y herramientas: enfocados en la discusión y construcción de las ideas</w:t>
      </w:r>
      <w:r>
        <w:rPr>
          <w:rFonts w:cstheme="minorHAnsi"/>
          <w:noProof/>
          <w:color w:val="000000" w:themeColor="text1"/>
          <w:sz w:val="24"/>
          <w:szCs w:val="24"/>
          <w:lang w:val="es-ES"/>
        </w:rPr>
        <w:t>.</w:t>
      </w:r>
    </w:p>
    <w:p w:rsidR="007271DE" w:rsidRPr="00E02681" w:rsidRDefault="007271DE" w:rsidP="007271DE">
      <w:pPr>
        <w:jc w:val="both"/>
        <w:rPr>
          <w:rFonts w:cstheme="minorHAnsi"/>
          <w:sz w:val="24"/>
          <w:szCs w:val="24"/>
        </w:rPr>
      </w:pPr>
    </w:p>
    <w:p w:rsidR="007271DE" w:rsidRPr="00ED4B30" w:rsidRDefault="007271DE" w:rsidP="007271DE">
      <w:pPr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ED4B30">
        <w:rPr>
          <w:rFonts w:cstheme="minorHAnsi"/>
          <w:b/>
          <w:sz w:val="24"/>
          <w:szCs w:val="24"/>
        </w:rPr>
        <w:t>Requisitos</w:t>
      </w:r>
      <w:r w:rsidRPr="00ED4B30">
        <w:rPr>
          <w:rFonts w:cstheme="minorHAnsi"/>
          <w:b/>
          <w:noProof/>
          <w:sz w:val="24"/>
          <w:szCs w:val="24"/>
          <w:lang w:val="es-ES"/>
        </w:rPr>
        <w:t xml:space="preserve"> del puesto:</w:t>
      </w:r>
    </w:p>
    <w:p w:rsidR="007271DE" w:rsidRDefault="007271DE" w:rsidP="007271DE">
      <w:pPr>
        <w:pStyle w:val="Prrafodelista"/>
        <w:numPr>
          <w:ilvl w:val="0"/>
          <w:numId w:val="5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095136">
        <w:rPr>
          <w:rFonts w:cstheme="minorHAnsi"/>
          <w:noProof/>
          <w:sz w:val="24"/>
          <w:szCs w:val="24"/>
          <w:lang w:val="es-ES"/>
        </w:rPr>
        <w:t>Nombramiento como administrador de incubadora MEP</w:t>
      </w:r>
      <w:r>
        <w:rPr>
          <w:rFonts w:cstheme="minorHAnsi"/>
          <w:noProof/>
          <w:sz w:val="24"/>
          <w:szCs w:val="24"/>
          <w:lang w:val="es-ES"/>
        </w:rPr>
        <w:t>.</w:t>
      </w:r>
    </w:p>
    <w:p w:rsidR="007271DE" w:rsidRPr="00430CA4" w:rsidRDefault="007271DE" w:rsidP="007271DE">
      <w:pPr>
        <w:pStyle w:val="Prrafodelista"/>
        <w:numPr>
          <w:ilvl w:val="0"/>
          <w:numId w:val="5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Cumplir los requisitos de incorporación ante el MICITT (</w:t>
      </w:r>
      <w:hyperlink r:id="rId8" w:history="1">
        <w:r w:rsidRPr="003D2F61">
          <w:rPr>
            <w:rStyle w:val="Hipervnculo"/>
            <w:rFonts w:cstheme="minorHAnsi"/>
            <w:noProof/>
            <w:sz w:val="24"/>
            <w:szCs w:val="24"/>
            <w:lang w:val="es-ES"/>
          </w:rPr>
          <w:t>https://www.micitt.go.cr/servicios/gestores-innovacion</w:t>
        </w:r>
      </w:hyperlink>
      <w:r>
        <w:rPr>
          <w:rFonts w:cstheme="minorHAnsi"/>
          <w:noProof/>
          <w:sz w:val="24"/>
          <w:szCs w:val="24"/>
          <w:lang w:val="es-ES"/>
        </w:rPr>
        <w:t xml:space="preserve">) </w:t>
      </w:r>
    </w:p>
    <w:p w:rsidR="007271DE" w:rsidRDefault="007271DE" w:rsidP="007271DE">
      <w:pPr>
        <w:jc w:val="both"/>
        <w:rPr>
          <w:rFonts w:eastAsiaTheme="minorEastAsia" w:cstheme="minorHAnsi"/>
          <w:noProof/>
          <w:sz w:val="24"/>
          <w:szCs w:val="24"/>
          <w:lang w:val="es-ES" w:eastAsia="ja-JP"/>
        </w:rPr>
      </w:pPr>
      <w:r w:rsidRPr="00ED4B30">
        <w:rPr>
          <w:rFonts w:cstheme="minorHAnsi"/>
          <w:b/>
          <w:noProof/>
          <w:sz w:val="24"/>
          <w:szCs w:val="24"/>
          <w:lang w:val="es-ES"/>
        </w:rPr>
        <w:t>Perfil Profesional</w:t>
      </w:r>
      <w:r>
        <w:rPr>
          <w:rFonts w:cstheme="minorHAnsi"/>
          <w:b/>
          <w:noProof/>
          <w:sz w:val="24"/>
          <w:szCs w:val="24"/>
          <w:lang w:val="es-ES"/>
        </w:rPr>
        <w:t>:</w:t>
      </w:r>
      <w:r w:rsidRPr="00ED4B30">
        <w:rPr>
          <w:rFonts w:cstheme="minorHAnsi"/>
          <w:b/>
          <w:noProof/>
          <w:sz w:val="24"/>
          <w:szCs w:val="24"/>
          <w:lang w:val="es-ES"/>
        </w:rPr>
        <w:t xml:space="preserve"> </w:t>
      </w:r>
      <w:r w:rsidRPr="00ED4B30">
        <w:rPr>
          <w:rFonts w:eastAsiaTheme="minorEastAsia" w:cstheme="minorHAnsi"/>
          <w:noProof/>
          <w:sz w:val="24"/>
          <w:szCs w:val="24"/>
          <w:lang w:val="es-ES" w:eastAsia="ja-JP"/>
        </w:rPr>
        <w:t xml:space="preserve"> </w:t>
      </w:r>
    </w:p>
    <w:p w:rsidR="007271DE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Tener conocimiento de:</w:t>
      </w:r>
      <w:r w:rsidRPr="003C0562">
        <w:rPr>
          <w:rFonts w:cstheme="minorHAnsi"/>
          <w:noProof/>
          <w:sz w:val="24"/>
          <w:szCs w:val="24"/>
          <w:lang w:val="es-ES"/>
        </w:rPr>
        <w:t xml:space="preserve"> 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L</w:t>
      </w:r>
      <w:r w:rsidRPr="003C0562">
        <w:rPr>
          <w:rFonts w:cstheme="minorHAnsi"/>
          <w:noProof/>
          <w:sz w:val="24"/>
          <w:szCs w:val="24"/>
          <w:lang w:val="es-ES"/>
        </w:rPr>
        <w:t xml:space="preserve">os principales aspectos del sistema de innovación (legislación, instituciones, indicadores). 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L</w:t>
      </w:r>
      <w:r w:rsidRPr="00813CA7">
        <w:rPr>
          <w:rFonts w:cstheme="minorHAnsi"/>
          <w:noProof/>
          <w:sz w:val="24"/>
          <w:szCs w:val="24"/>
          <w:lang w:val="es-ES"/>
        </w:rPr>
        <w:t>os instrumentos básicos de producción del conocimiento (método científico, proyectos, tesis).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 xml:space="preserve">Los </w:t>
      </w:r>
      <w:r w:rsidRPr="00EB5CD7">
        <w:rPr>
          <w:rFonts w:cstheme="minorHAnsi"/>
          <w:noProof/>
          <w:sz w:val="24"/>
          <w:szCs w:val="24"/>
          <w:lang w:val="es-ES"/>
        </w:rPr>
        <w:t>instrumentos básicos de difusión (publicaciones, repositorios, foros).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lastRenderedPageBreak/>
        <w:t xml:space="preserve">Los </w:t>
      </w:r>
      <w:r w:rsidRPr="00EB5CD7">
        <w:rPr>
          <w:rFonts w:cstheme="minorHAnsi"/>
          <w:noProof/>
          <w:sz w:val="24"/>
          <w:szCs w:val="24"/>
          <w:lang w:val="es-ES"/>
        </w:rPr>
        <w:t>instrumentos básicos de  apropiación (patentes, derechos de autor)</w:t>
      </w:r>
      <w:r>
        <w:rPr>
          <w:rFonts w:cstheme="minorHAnsi"/>
          <w:noProof/>
          <w:sz w:val="24"/>
          <w:szCs w:val="24"/>
          <w:lang w:val="es-ES"/>
        </w:rPr>
        <w:t>.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 xml:space="preserve">Los </w:t>
      </w:r>
      <w:r w:rsidRPr="00EB5CD7">
        <w:rPr>
          <w:rFonts w:cstheme="minorHAnsi"/>
          <w:noProof/>
          <w:sz w:val="24"/>
          <w:szCs w:val="24"/>
          <w:lang w:val="es-ES"/>
        </w:rPr>
        <w:t>instrumentos básicos de  transferencia (licencias, contratos).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 xml:space="preserve">Y </w:t>
      </w:r>
      <w:r w:rsidRPr="00EB5CD7">
        <w:rPr>
          <w:rFonts w:cstheme="minorHAnsi"/>
          <w:noProof/>
          <w:sz w:val="24"/>
          <w:szCs w:val="24"/>
          <w:lang w:val="es-ES"/>
        </w:rPr>
        <w:t>experiencia en negocios.</w:t>
      </w:r>
    </w:p>
    <w:p w:rsidR="007271DE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B5CD7">
        <w:rPr>
          <w:rFonts w:cstheme="minorHAnsi"/>
          <w:noProof/>
          <w:sz w:val="24"/>
          <w:szCs w:val="24"/>
          <w:lang w:val="es-ES"/>
        </w:rPr>
        <w:t xml:space="preserve">Apoyar al emprendedor en su aprendizaje de manera desinteresada. </w:t>
      </w:r>
    </w:p>
    <w:p w:rsidR="007271DE" w:rsidRPr="00EB5CD7" w:rsidRDefault="007271DE" w:rsidP="007271DE">
      <w:pPr>
        <w:pStyle w:val="Prrafodelista"/>
        <w:numPr>
          <w:ilvl w:val="0"/>
          <w:numId w:val="12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Ser ético e í</w:t>
      </w:r>
      <w:r w:rsidRPr="00EB5CD7">
        <w:rPr>
          <w:rFonts w:cstheme="minorHAnsi"/>
          <w:noProof/>
          <w:sz w:val="24"/>
          <w:szCs w:val="24"/>
          <w:lang w:val="es-ES"/>
        </w:rPr>
        <w:t xml:space="preserve">ntegro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134471095"/>
        <w:docPartObj>
          <w:docPartGallery w:val="Bibliographies"/>
          <w:docPartUnique/>
        </w:docPartObj>
      </w:sdtPr>
      <w:sdtEndPr>
        <w:rPr>
          <w:lang w:val="es-CR"/>
        </w:rPr>
      </w:sdtEndPr>
      <w:sdtContent>
        <w:p w:rsidR="007271DE" w:rsidRDefault="007271DE" w:rsidP="007271DE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7271DE" w:rsidRDefault="007271DE" w:rsidP="007271DE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Conesa, F. (s.f.). </w:t>
              </w:r>
              <w:r>
                <w:rPr>
                  <w:i/>
                  <w:iCs/>
                  <w:noProof/>
                  <w:lang w:val="es-ES"/>
                </w:rPr>
                <w:t>redtransfer.org</w:t>
              </w:r>
              <w:r>
                <w:rPr>
                  <w:noProof/>
                  <w:lang w:val="es-ES"/>
                </w:rPr>
                <w:t>. Obtenido de https://www.redtransfer.org/blog/perfiles-profesionales-en-gestion-de-la-innovacion/</w:t>
              </w:r>
            </w:p>
            <w:p w:rsidR="007271DE" w:rsidRDefault="007271DE" w:rsidP="007271D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El financiero. (31 de agosto de 2014). Obtenido de https://www.elfinancierocr.com/negocios/como-el-gestor-de-innovacion-puede-potenciar-su-empresa/XURXBZAAZBFL5P3KCXFTXJMJZE/story/</w:t>
              </w:r>
            </w:p>
            <w:p w:rsidR="007271DE" w:rsidRDefault="007271DE" w:rsidP="007271D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MICITT. (s.f.). Obtenido de https://www.micitt.go.cr/servicios/gestores-innovacion</w:t>
              </w:r>
            </w:p>
            <w:p w:rsidR="007271DE" w:rsidRDefault="007271DE" w:rsidP="007271D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Default="007271DE" w:rsidP="0005707D">
      <w:pPr>
        <w:jc w:val="both"/>
      </w:pPr>
    </w:p>
    <w:p w:rsidR="007271DE" w:rsidRPr="00E02681" w:rsidRDefault="007271DE" w:rsidP="007271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PERFIL DEL</w:t>
      </w:r>
      <w:r w:rsidRPr="00E02681">
        <w:rPr>
          <w:rFonts w:cstheme="minorHAnsi"/>
          <w:b/>
          <w:sz w:val="24"/>
          <w:szCs w:val="24"/>
        </w:rPr>
        <w:t xml:space="preserve"> MENTOR DE LA INCUBADORA DE EMPRESAS</w:t>
      </w:r>
    </w:p>
    <w:p w:rsidR="007271DE" w:rsidRPr="00E02681" w:rsidRDefault="007271DE" w:rsidP="007271DE">
      <w:pPr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E02681">
        <w:rPr>
          <w:rFonts w:cstheme="minorHAnsi"/>
          <w:b/>
          <w:noProof/>
          <w:sz w:val="24"/>
          <w:szCs w:val="24"/>
          <w:lang w:val="es-ES"/>
        </w:rPr>
        <w:t xml:space="preserve">Descrpción conceptual: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Los mentores son las personas encargadas de proporcionar formación técnica a los emprendedores sobre un tema específico, en el cual se muestre alguna deficiencia en el diagnóstico y proceso </w:t>
      </w:r>
      <w:r>
        <w:rPr>
          <w:rFonts w:cstheme="minorHAnsi"/>
          <w:noProof/>
          <w:sz w:val="24"/>
          <w:szCs w:val="24"/>
          <w:lang w:val="es-ES"/>
        </w:rPr>
        <w:t>de incubació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n.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La Universidad Católica de Santa María menciona que e</w:t>
      </w:r>
      <w:r w:rsidRPr="00E02681">
        <w:rPr>
          <w:rFonts w:cstheme="minorHAnsi"/>
          <w:noProof/>
          <w:sz w:val="24"/>
          <w:szCs w:val="24"/>
          <w:lang w:val="es-ES"/>
        </w:rPr>
        <w:t>s</w:t>
      </w:r>
      <w:r>
        <w:rPr>
          <w:rFonts w:cstheme="minorHAnsi"/>
          <w:noProof/>
          <w:sz w:val="24"/>
          <w:szCs w:val="24"/>
          <w:lang w:val="es-ES"/>
        </w:rPr>
        <w:t>ta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 es una técnica muy utilizada por el mundo empresarial en la actualidad. Es una relación, sea profesional o personal, en la que un individuo con más experiencia (el/la mentor) asume la responsabilidad como guía, modelo, entrenador/a, o padrino/a de un individuo con</w:t>
      </w:r>
      <w:r>
        <w:rPr>
          <w:rFonts w:cstheme="minorHAnsi"/>
          <w:noProof/>
          <w:sz w:val="24"/>
          <w:szCs w:val="24"/>
          <w:lang w:val="es-ES"/>
        </w:rPr>
        <w:t xml:space="preserve"> 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menos </w:t>
      </w:r>
      <w:r>
        <w:rPr>
          <w:rFonts w:cstheme="minorHAnsi"/>
          <w:noProof/>
          <w:sz w:val="24"/>
          <w:szCs w:val="24"/>
          <w:lang w:val="es-ES"/>
        </w:rPr>
        <w:t xml:space="preserve">experiencia (él/la aprendiz). </w:t>
      </w:r>
      <w:sdt>
        <w:sdtPr>
          <w:rPr>
            <w:rFonts w:cstheme="minorHAnsi"/>
            <w:noProof/>
            <w:sz w:val="24"/>
            <w:szCs w:val="24"/>
            <w:lang w:val="es-ES"/>
          </w:rPr>
          <w:id w:val="1813983999"/>
          <w:citation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fldChar w:fldCharType="begin"/>
          </w:r>
          <w:r>
            <w:rPr>
              <w:rFonts w:cstheme="minorHAnsi"/>
              <w:noProof/>
              <w:sz w:val="24"/>
              <w:szCs w:val="24"/>
              <w:lang w:val="es-ES"/>
            </w:rPr>
            <w:instrText xml:space="preserve"> CITATION Uni \l 3082 </w:instrText>
          </w:r>
          <w:r>
            <w:rPr>
              <w:rFonts w:cstheme="minorHAnsi"/>
              <w:noProof/>
              <w:sz w:val="24"/>
              <w:szCs w:val="24"/>
              <w:lang w:val="es-ES"/>
            </w:rPr>
            <w:fldChar w:fldCharType="separate"/>
          </w:r>
          <w:r w:rsidRPr="002D2898">
            <w:rPr>
              <w:rFonts w:cstheme="minorHAnsi"/>
              <w:noProof/>
              <w:sz w:val="24"/>
              <w:szCs w:val="24"/>
              <w:lang w:val="es-ES"/>
            </w:rPr>
            <w:t>(Universidad Católica de Santa María, s.f.)</w:t>
          </w:r>
          <w:r>
            <w:rPr>
              <w:rFonts w:cstheme="minorHAnsi"/>
              <w:noProof/>
              <w:sz w:val="24"/>
              <w:szCs w:val="24"/>
              <w:lang w:val="es-ES"/>
            </w:rPr>
            <w:fldChar w:fldCharType="end"/>
          </w:r>
        </w:sdtContent>
      </w:sdt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IET consultires en su página menciona que e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n esta disciplina el mentor comparte su experiencia y conocimientos con las otras personas para que éstas puedan desarrollarse con éxito a nivel profesional, personal, etc. Viene del concepto de Maestro.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Fue en la Edad Media cuando cobró importancia este personaje que solía ser una persona mayor que se encargaba de enseñar las claves de un oficio a un joven, que recibía el nombre de aprendiz.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Es importante destacar que el mentoring se asocia a un proceso informal de enseñanza, a diferencia de la relación que se establece entre un maestro y sus alumnos en el marco de la escuela.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El mentor no se atañe a un programa de estudios ni califica al aprendiz bajo ciertos criterios de evaluación como ocurre en </w:t>
      </w:r>
      <w:r>
        <w:rPr>
          <w:rFonts w:cstheme="minorHAnsi"/>
          <w:noProof/>
          <w:sz w:val="24"/>
          <w:szCs w:val="24"/>
          <w:lang w:val="es-ES"/>
        </w:rPr>
        <w:t>el sistema educativo formal. E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s alguien experimentado que da conocer lo que está haciendo en la actualidad, y dispone de tiempo para dedicarle al emprendedor, y que además no lo vea el mentor como competidor. Es aquel que vemos como un “maestro” de lo suyo y no tiene ya aspiraciones de variar de puesto. </w:t>
      </w:r>
      <w:sdt>
        <w:sdtPr>
          <w:rPr>
            <w:rFonts w:cstheme="minorHAnsi"/>
            <w:noProof/>
            <w:sz w:val="24"/>
            <w:szCs w:val="24"/>
            <w:lang w:val="es-ES"/>
          </w:rPr>
          <w:id w:val="-1198005572"/>
          <w:citation/>
        </w:sdtPr>
        <w:sdtContent>
          <w:r>
            <w:rPr>
              <w:rFonts w:cstheme="minorHAnsi"/>
              <w:noProof/>
              <w:sz w:val="24"/>
              <w:szCs w:val="24"/>
              <w:lang w:val="es-ES"/>
            </w:rPr>
            <w:fldChar w:fldCharType="begin"/>
          </w:r>
          <w:r>
            <w:rPr>
              <w:rFonts w:cstheme="minorHAnsi"/>
              <w:noProof/>
              <w:sz w:val="24"/>
              <w:szCs w:val="24"/>
              <w:lang w:val="es-ES"/>
            </w:rPr>
            <w:instrText xml:space="preserve"> CITATION IET14 \l 3082 </w:instrText>
          </w:r>
          <w:r>
            <w:rPr>
              <w:rFonts w:cstheme="minorHAnsi"/>
              <w:noProof/>
              <w:sz w:val="24"/>
              <w:szCs w:val="24"/>
              <w:lang w:val="es-ES"/>
            </w:rPr>
            <w:fldChar w:fldCharType="separate"/>
          </w:r>
          <w:r w:rsidRPr="00212DD0">
            <w:rPr>
              <w:rFonts w:cstheme="minorHAnsi"/>
              <w:noProof/>
              <w:sz w:val="24"/>
              <w:szCs w:val="24"/>
              <w:lang w:val="es-ES"/>
            </w:rPr>
            <w:t>(IET consultores, 2014)</w:t>
          </w:r>
          <w:r>
            <w:rPr>
              <w:rFonts w:cstheme="minorHAnsi"/>
              <w:noProof/>
              <w:sz w:val="24"/>
              <w:szCs w:val="24"/>
              <w:lang w:val="es-ES"/>
            </w:rPr>
            <w:fldChar w:fldCharType="end"/>
          </w:r>
        </w:sdtContent>
      </w:sdt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Los mentores son voluntarios que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: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sym w:font="Symbol" w:char="F0B7"/>
      </w:r>
      <w:r w:rsidRPr="00E02681">
        <w:rPr>
          <w:rFonts w:cstheme="minorHAnsi"/>
          <w:noProof/>
          <w:sz w:val="24"/>
          <w:szCs w:val="24"/>
          <w:lang w:val="es-ES"/>
        </w:rPr>
        <w:t xml:space="preserve"> Que tienen conocimientos y experiencias en negocios</w:t>
      </w:r>
      <w:r>
        <w:rPr>
          <w:rFonts w:cstheme="minorHAnsi"/>
          <w:noProof/>
          <w:sz w:val="24"/>
          <w:szCs w:val="24"/>
          <w:lang w:val="es-ES"/>
        </w:rPr>
        <w:t>.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sym w:font="Symbol" w:char="F0B7"/>
      </w:r>
      <w:r w:rsidRPr="00E02681">
        <w:rPr>
          <w:rFonts w:cstheme="minorHAnsi"/>
          <w:noProof/>
          <w:sz w:val="24"/>
          <w:szCs w:val="24"/>
          <w:lang w:val="es-ES"/>
        </w:rPr>
        <w:t xml:space="preserve"> Que desean compartir sus experiencias y conocimientos con una persona joven en el inicio de su negocio</w:t>
      </w:r>
      <w:r>
        <w:rPr>
          <w:rFonts w:cstheme="minorHAnsi"/>
          <w:noProof/>
          <w:sz w:val="24"/>
          <w:szCs w:val="24"/>
          <w:lang w:val="es-ES"/>
        </w:rPr>
        <w:t>.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 </w:t>
      </w:r>
      <w:r w:rsidRPr="00E02681">
        <w:rPr>
          <w:rFonts w:cstheme="minorHAnsi"/>
          <w:noProof/>
          <w:sz w:val="24"/>
          <w:szCs w:val="24"/>
          <w:lang w:val="es-ES"/>
        </w:rPr>
        <w:sym w:font="Symbol" w:char="F0B7"/>
      </w:r>
      <w:r w:rsidRPr="00E02681">
        <w:rPr>
          <w:rFonts w:cstheme="minorHAnsi"/>
          <w:noProof/>
          <w:sz w:val="24"/>
          <w:szCs w:val="24"/>
          <w:lang w:val="es-ES"/>
        </w:rPr>
        <w:t xml:space="preserve"> Que quieren conocer y apoyar a un emprendedor</w:t>
      </w:r>
      <w:r>
        <w:rPr>
          <w:rFonts w:cstheme="minorHAnsi"/>
          <w:noProof/>
          <w:sz w:val="24"/>
          <w:szCs w:val="24"/>
          <w:lang w:val="es-ES"/>
        </w:rPr>
        <w:t>.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 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lastRenderedPageBreak/>
        <w:sym w:font="Symbol" w:char="F0B7"/>
      </w:r>
      <w:r w:rsidRPr="00E02681">
        <w:rPr>
          <w:rFonts w:cstheme="minorHAnsi"/>
          <w:noProof/>
          <w:sz w:val="24"/>
          <w:szCs w:val="24"/>
          <w:lang w:val="es-ES"/>
        </w:rPr>
        <w:t xml:space="preserve"> Que tienen buenas habilidades de comunicación</w:t>
      </w:r>
      <w:r>
        <w:rPr>
          <w:rFonts w:cstheme="minorHAnsi"/>
          <w:noProof/>
          <w:sz w:val="24"/>
          <w:szCs w:val="24"/>
          <w:lang w:val="es-ES"/>
        </w:rPr>
        <w:t>.</w:t>
      </w:r>
    </w:p>
    <w:p w:rsidR="007271DE" w:rsidRPr="00ED4B30" w:rsidRDefault="007271DE" w:rsidP="00727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noProof/>
          <w:sz w:val="24"/>
          <w:szCs w:val="24"/>
          <w:highlight w:val="yellow"/>
          <w:lang w:val="es-ES"/>
        </w:rPr>
      </w:pPr>
      <w:r w:rsidRPr="00ED4B30">
        <w:rPr>
          <w:rFonts w:cstheme="minorHAnsi"/>
          <w:b/>
          <w:noProof/>
          <w:sz w:val="24"/>
          <w:szCs w:val="24"/>
          <w:lang w:val="es-ES"/>
        </w:rPr>
        <w:t>Funciones establecidas para los mentores:</w:t>
      </w:r>
    </w:p>
    <w:p w:rsidR="007271DE" w:rsidRPr="00E02681" w:rsidRDefault="007271DE" w:rsidP="00727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highlight w:val="red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>Proporcionar atención y asesoría técnica específica a los emprendedores.</w:t>
      </w:r>
    </w:p>
    <w:p w:rsidR="007271DE" w:rsidRPr="00E02681" w:rsidRDefault="007271DE" w:rsidP="007271DE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 xml:space="preserve">Presentar </w:t>
      </w:r>
      <w:r>
        <w:rPr>
          <w:rFonts w:cstheme="minorHAnsi"/>
          <w:noProof/>
          <w:color w:val="000000" w:themeColor="text1"/>
          <w:sz w:val="24"/>
          <w:szCs w:val="24"/>
          <w:lang w:val="es-ES"/>
        </w:rPr>
        <w:t>peri</w:t>
      </w: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>odicamente al administrador, información sobre los avances de los emprendodores que participan en la Incubadora de Negocios.</w:t>
      </w:r>
    </w:p>
    <w:p w:rsidR="007271DE" w:rsidRPr="00E02681" w:rsidRDefault="007271DE" w:rsidP="007271DE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 xml:space="preserve">Mantener absoluta confidencialidad </w:t>
      </w:r>
      <w:r w:rsidRPr="00E02681">
        <w:rPr>
          <w:rFonts w:cstheme="minorHAnsi"/>
          <w:noProof/>
          <w:color w:val="FF0000"/>
          <w:sz w:val="24"/>
          <w:szCs w:val="24"/>
          <w:lang w:val="es-ES"/>
        </w:rPr>
        <w:t>(ver anexo xxx)</w:t>
      </w: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 xml:space="preserve"> con la información e ideas proporcionadas para el desarrollo de la actividad en la incubadora de empresas.</w:t>
      </w:r>
    </w:p>
    <w:p w:rsidR="007271DE" w:rsidRPr="00E02681" w:rsidRDefault="007271DE" w:rsidP="007271DE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noProof/>
          <w:color w:val="000000" w:themeColor="text1"/>
          <w:sz w:val="24"/>
          <w:szCs w:val="24"/>
          <w:lang w:val="es-ES"/>
        </w:rPr>
      </w:pPr>
      <w:r w:rsidRPr="00E02681">
        <w:rPr>
          <w:rFonts w:cstheme="minorHAnsi"/>
          <w:noProof/>
          <w:color w:val="000000" w:themeColor="text1"/>
          <w:sz w:val="24"/>
          <w:szCs w:val="24"/>
          <w:lang w:val="es-ES"/>
        </w:rPr>
        <w:t>Motivar a los proponentes en el desarrollo de su proyecto.</w:t>
      </w:r>
    </w:p>
    <w:p w:rsidR="007271DE" w:rsidRPr="00E02681" w:rsidRDefault="007271DE" w:rsidP="007271DE">
      <w:pPr>
        <w:jc w:val="both"/>
        <w:rPr>
          <w:rFonts w:cstheme="minorHAnsi"/>
          <w:sz w:val="24"/>
          <w:szCs w:val="24"/>
        </w:rPr>
      </w:pPr>
    </w:p>
    <w:p w:rsidR="007271DE" w:rsidRPr="00ED4B30" w:rsidRDefault="007271DE" w:rsidP="007271DE">
      <w:pPr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ED4B30">
        <w:rPr>
          <w:rFonts w:cstheme="minorHAnsi"/>
          <w:b/>
          <w:sz w:val="24"/>
          <w:szCs w:val="24"/>
        </w:rPr>
        <w:t>Requisitos</w:t>
      </w:r>
      <w:r w:rsidRPr="00ED4B30">
        <w:rPr>
          <w:rFonts w:cstheme="minorHAnsi"/>
          <w:b/>
          <w:noProof/>
          <w:sz w:val="24"/>
          <w:szCs w:val="24"/>
          <w:lang w:val="es-ES"/>
        </w:rPr>
        <w:t xml:space="preserve"> del puesto: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Los interesados deberán llenar el </w:t>
      </w:r>
      <w:r w:rsidR="00920F8D">
        <w:rPr>
          <w:rFonts w:cstheme="minorHAnsi"/>
          <w:noProof/>
          <w:sz w:val="24"/>
          <w:szCs w:val="24"/>
          <w:lang w:val="es-ES"/>
        </w:rPr>
        <w:t xml:space="preserve">formulario </w:t>
      </w:r>
      <w:r w:rsidR="00D926F7" w:rsidRPr="00D926F7">
        <w:rPr>
          <w:rFonts w:cstheme="minorHAnsi"/>
          <w:noProof/>
          <w:sz w:val="24"/>
          <w:szCs w:val="24"/>
          <w:lang w:val="es-ES"/>
        </w:rPr>
        <w:t>C2</w:t>
      </w:r>
      <w:r w:rsidRPr="00D926F7">
        <w:rPr>
          <w:rFonts w:cstheme="minorHAnsi"/>
          <w:noProof/>
          <w:sz w:val="24"/>
          <w:szCs w:val="24"/>
          <w:lang w:val="es-ES"/>
        </w:rPr>
        <w:t xml:space="preserve"> </w:t>
      </w:r>
      <w:r w:rsidRPr="00E02681">
        <w:rPr>
          <w:rFonts w:cstheme="minorHAnsi"/>
          <w:noProof/>
          <w:sz w:val="24"/>
          <w:szCs w:val="24"/>
          <w:lang w:val="es-ES"/>
        </w:rPr>
        <w:t>y adjuntar su CV</w:t>
      </w:r>
      <w:r w:rsidR="00920F8D">
        <w:rPr>
          <w:rFonts w:cstheme="minorHAnsi"/>
          <w:noProof/>
          <w:sz w:val="24"/>
          <w:szCs w:val="24"/>
          <w:lang w:val="es-ES"/>
        </w:rPr>
        <w:t xml:space="preserve"> (formu</w:t>
      </w:r>
      <w:r w:rsidR="00D926F7">
        <w:rPr>
          <w:rFonts w:cstheme="minorHAnsi"/>
          <w:noProof/>
          <w:sz w:val="24"/>
          <w:szCs w:val="24"/>
          <w:lang w:val="es-ES"/>
        </w:rPr>
        <w:t>l</w:t>
      </w:r>
      <w:r w:rsidR="00920F8D">
        <w:rPr>
          <w:rFonts w:cstheme="minorHAnsi"/>
          <w:noProof/>
          <w:sz w:val="24"/>
          <w:szCs w:val="24"/>
          <w:lang w:val="es-ES"/>
        </w:rPr>
        <w:t>a</w:t>
      </w:r>
      <w:r w:rsidR="00D926F7">
        <w:rPr>
          <w:rFonts w:cstheme="minorHAnsi"/>
          <w:noProof/>
          <w:sz w:val="24"/>
          <w:szCs w:val="24"/>
          <w:lang w:val="es-ES"/>
        </w:rPr>
        <w:t>rio S7)</w:t>
      </w:r>
      <w:r w:rsidRPr="00E02681">
        <w:rPr>
          <w:rFonts w:cstheme="minorHAnsi"/>
          <w:noProof/>
          <w:sz w:val="24"/>
          <w:szCs w:val="24"/>
          <w:lang w:val="es-ES"/>
        </w:rPr>
        <w:t>.</w:t>
      </w:r>
    </w:p>
    <w:p w:rsidR="007271DE" w:rsidRPr="00E02681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D4B30" w:rsidRDefault="007271DE" w:rsidP="007271DE">
      <w:pPr>
        <w:jc w:val="both"/>
        <w:rPr>
          <w:rFonts w:eastAsiaTheme="minorEastAsia" w:cstheme="minorHAnsi"/>
          <w:noProof/>
          <w:sz w:val="24"/>
          <w:szCs w:val="24"/>
          <w:lang w:val="es-ES" w:eastAsia="ja-JP"/>
        </w:rPr>
      </w:pPr>
      <w:r w:rsidRPr="00ED4B30">
        <w:rPr>
          <w:rFonts w:cstheme="minorHAnsi"/>
          <w:b/>
          <w:noProof/>
          <w:sz w:val="24"/>
          <w:szCs w:val="24"/>
          <w:lang w:val="es-ES"/>
        </w:rPr>
        <w:t>Perfil Profesional</w:t>
      </w:r>
      <w:r>
        <w:rPr>
          <w:rFonts w:cstheme="minorHAnsi"/>
          <w:b/>
          <w:noProof/>
          <w:sz w:val="24"/>
          <w:szCs w:val="24"/>
          <w:lang w:val="es-ES"/>
        </w:rPr>
        <w:t>:</w:t>
      </w:r>
      <w:r w:rsidRPr="00ED4B30">
        <w:rPr>
          <w:rFonts w:cstheme="minorHAnsi"/>
          <w:b/>
          <w:noProof/>
          <w:sz w:val="24"/>
          <w:szCs w:val="24"/>
          <w:lang w:val="es-ES"/>
        </w:rPr>
        <w:t xml:space="preserve"> </w:t>
      </w:r>
      <w:r w:rsidRPr="00ED4B30">
        <w:rPr>
          <w:rFonts w:eastAsiaTheme="minorEastAsia" w:cstheme="minorHAnsi"/>
          <w:noProof/>
          <w:sz w:val="24"/>
          <w:szCs w:val="24"/>
          <w:lang w:val="es-ES" w:eastAsia="ja-JP"/>
        </w:rPr>
        <w:t xml:space="preserve"> </w:t>
      </w:r>
      <w:bookmarkStart w:id="0" w:name="_GoBack"/>
      <w:bookmarkEnd w:id="0"/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>Tener conocimiento y experiencia en negocios.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>Ser graduado a nivel parauniveritario o universitario o ser dueño de su propia empresa.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Experiencia en la capacidad de motivar en el desarrollo del objetivo final. 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Dedicar tiempo para construir y establecer acciones que crean impacto en el proceso de mentorización. 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Transmite y comparte con el aprendiz sus aprendizajes y lecciones adquiridas. 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Experiencia en saber orientar, llegando a solucionar problemas que tiene el subordinado, encontrando la mejor forma de hallar el camino adecuado y dejando al subordinado que encuentre su alternativa más apropiada. 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E02681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t xml:space="preserve">Apoyar al emprendedor en su aprendizaje de manera desinteresada. </w:t>
      </w:r>
    </w:p>
    <w:p w:rsidR="007271DE" w:rsidRPr="00E02681" w:rsidRDefault="007271DE" w:rsidP="007271DE">
      <w:pPr>
        <w:pStyle w:val="Prrafodelista"/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1C2016" w:rsidRDefault="007271DE" w:rsidP="007271DE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E02681">
        <w:rPr>
          <w:rFonts w:cstheme="minorHAnsi"/>
          <w:noProof/>
          <w:sz w:val="24"/>
          <w:szCs w:val="24"/>
          <w:lang w:val="es-ES"/>
        </w:rPr>
        <w:lastRenderedPageBreak/>
        <w:t>Ser ético e integro</w:t>
      </w:r>
      <w:r>
        <w:rPr>
          <w:rFonts w:cstheme="minorHAnsi"/>
          <w:noProof/>
          <w:sz w:val="24"/>
          <w:szCs w:val="24"/>
          <w:lang w:val="es-ES"/>
        </w:rPr>
        <w:t>.</w:t>
      </w:r>
      <w:r w:rsidRPr="00E02681">
        <w:rPr>
          <w:rFonts w:cstheme="minorHAnsi"/>
          <w:noProof/>
          <w:sz w:val="24"/>
          <w:szCs w:val="24"/>
          <w:lang w:val="es-ES"/>
        </w:rPr>
        <w:t xml:space="preserve"> </w:t>
      </w:r>
    </w:p>
    <w:p w:rsidR="007271DE" w:rsidRPr="00F620DE" w:rsidRDefault="007271DE" w:rsidP="007271DE">
      <w:pPr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F620DE">
        <w:rPr>
          <w:rFonts w:cstheme="minorHAnsi"/>
          <w:b/>
          <w:noProof/>
          <w:sz w:val="24"/>
          <w:szCs w:val="24"/>
          <w:lang w:val="es-ES"/>
        </w:rPr>
        <w:t>Selección de los mentores:</w:t>
      </w:r>
    </w:p>
    <w:p w:rsidR="007271DE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La Junta Administrativa</w:t>
      </w:r>
      <w:r w:rsidRPr="008A44D4">
        <w:rPr>
          <w:rFonts w:cstheme="minorHAnsi"/>
          <w:noProof/>
          <w:sz w:val="24"/>
          <w:szCs w:val="24"/>
          <w:lang w:val="es-ES"/>
        </w:rPr>
        <w:t xml:space="preserve"> tendrá el carácter de impugnable e Inapelable. </w:t>
      </w:r>
    </w:p>
    <w:p w:rsidR="007271DE" w:rsidRDefault="007271DE" w:rsidP="007271DE">
      <w:pPr>
        <w:jc w:val="both"/>
        <w:rPr>
          <w:noProof/>
        </w:rPr>
      </w:pPr>
      <w:r w:rsidRPr="008A44D4">
        <w:rPr>
          <w:rFonts w:cstheme="minorHAnsi"/>
          <w:noProof/>
          <w:sz w:val="24"/>
          <w:szCs w:val="24"/>
          <w:lang w:val="es-ES"/>
        </w:rPr>
        <w:t xml:space="preserve">La elección de los mentores se desarrollará según el siguiente cronograma: </w:t>
      </w:r>
    </w:p>
    <w:p w:rsidR="007271DE" w:rsidRPr="00984BCC" w:rsidRDefault="007271DE" w:rsidP="007271DE">
      <w:pPr>
        <w:pStyle w:val="Prrafodelista"/>
        <w:numPr>
          <w:ilvl w:val="0"/>
          <w:numId w:val="3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984BCC">
        <w:rPr>
          <w:rFonts w:cstheme="minorHAnsi"/>
          <w:noProof/>
          <w:sz w:val="24"/>
          <w:szCs w:val="24"/>
          <w:lang w:val="es-ES"/>
        </w:rPr>
        <w:t>Presentación de propuestas.</w:t>
      </w:r>
    </w:p>
    <w:p w:rsidR="007271DE" w:rsidRPr="00984BCC" w:rsidRDefault="007271DE" w:rsidP="007271DE">
      <w:pPr>
        <w:pStyle w:val="Prrafodelista"/>
        <w:numPr>
          <w:ilvl w:val="0"/>
          <w:numId w:val="3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Aná</w:t>
      </w:r>
      <w:r w:rsidRPr="00984BCC">
        <w:rPr>
          <w:rFonts w:cstheme="minorHAnsi"/>
          <w:noProof/>
          <w:sz w:val="24"/>
          <w:szCs w:val="24"/>
          <w:lang w:val="es-ES"/>
        </w:rPr>
        <w:t>lisis de las propuestas.</w:t>
      </w:r>
    </w:p>
    <w:p w:rsidR="007271DE" w:rsidRPr="00984BCC" w:rsidRDefault="007271DE" w:rsidP="007271DE">
      <w:pPr>
        <w:pStyle w:val="Prrafodelista"/>
        <w:numPr>
          <w:ilvl w:val="0"/>
          <w:numId w:val="3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>Selección d</w:t>
      </w:r>
      <w:r w:rsidRPr="00984BCC">
        <w:rPr>
          <w:rFonts w:cstheme="minorHAnsi"/>
          <w:noProof/>
          <w:sz w:val="24"/>
          <w:szCs w:val="24"/>
          <w:lang w:val="es-ES"/>
        </w:rPr>
        <w:t>e</w:t>
      </w:r>
      <w:r>
        <w:rPr>
          <w:rFonts w:cstheme="minorHAnsi"/>
          <w:noProof/>
          <w:sz w:val="24"/>
          <w:szCs w:val="24"/>
          <w:lang w:val="es-ES"/>
        </w:rPr>
        <w:t xml:space="preserve"> las pro</w:t>
      </w:r>
      <w:r w:rsidRPr="00984BCC">
        <w:rPr>
          <w:rFonts w:cstheme="minorHAnsi"/>
          <w:noProof/>
          <w:sz w:val="24"/>
          <w:szCs w:val="24"/>
          <w:lang w:val="es-ES"/>
        </w:rPr>
        <w:t>puestas que cumplen la idoneidad.</w:t>
      </w:r>
    </w:p>
    <w:p w:rsidR="007271DE" w:rsidRDefault="007271DE" w:rsidP="007271DE">
      <w:pPr>
        <w:pStyle w:val="Prrafodelista"/>
        <w:numPr>
          <w:ilvl w:val="0"/>
          <w:numId w:val="3"/>
        </w:numPr>
        <w:jc w:val="both"/>
        <w:rPr>
          <w:rFonts w:cstheme="minorHAnsi"/>
          <w:noProof/>
          <w:sz w:val="24"/>
          <w:szCs w:val="24"/>
          <w:lang w:val="es-ES"/>
        </w:rPr>
      </w:pPr>
      <w:r w:rsidRPr="00984BCC">
        <w:rPr>
          <w:rFonts w:cstheme="minorHAnsi"/>
          <w:noProof/>
          <w:sz w:val="24"/>
          <w:szCs w:val="24"/>
          <w:lang w:val="es-ES"/>
        </w:rPr>
        <w:t xml:space="preserve">La </w:t>
      </w:r>
      <w:r>
        <w:rPr>
          <w:rFonts w:cstheme="minorHAnsi"/>
          <w:noProof/>
          <w:sz w:val="24"/>
          <w:szCs w:val="24"/>
          <w:lang w:val="es-ES"/>
        </w:rPr>
        <w:t>Junta Administradora</w:t>
      </w:r>
      <w:r w:rsidRPr="00984BCC">
        <w:rPr>
          <w:rFonts w:cstheme="minorHAnsi"/>
          <w:noProof/>
          <w:sz w:val="24"/>
          <w:szCs w:val="24"/>
          <w:lang w:val="es-ES"/>
        </w:rPr>
        <w:t xml:space="preserve"> dará a conocer los resultados, a cada mentor aprobado.</w:t>
      </w:r>
    </w:p>
    <w:p w:rsidR="007271DE" w:rsidRPr="00984BCC" w:rsidRDefault="007271DE" w:rsidP="007271DE">
      <w:pPr>
        <w:pStyle w:val="Prrafodelista"/>
        <w:numPr>
          <w:ilvl w:val="0"/>
          <w:numId w:val="3"/>
        </w:numPr>
        <w:jc w:val="both"/>
        <w:rPr>
          <w:rFonts w:cstheme="minorHAnsi"/>
          <w:noProof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t xml:space="preserve">En caso de  no cumplimiento del proceso se reiniciría el mismo nuevamente.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33356764"/>
        <w:docPartObj>
          <w:docPartGallery w:val="Bibliographies"/>
          <w:docPartUnique/>
        </w:docPartObj>
      </w:sdtPr>
      <w:sdtEndPr>
        <w:rPr>
          <w:lang w:val="es-CR"/>
        </w:rPr>
      </w:sdtEndPr>
      <w:sdtContent>
        <w:p w:rsidR="007271DE" w:rsidRDefault="007271DE" w:rsidP="007271DE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2056225885"/>
            <w:bibliography/>
          </w:sdtPr>
          <w:sdtContent>
            <w:p w:rsidR="007271DE" w:rsidRDefault="007271DE" w:rsidP="007271DE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>IET consultores. (2 de Diciembre de 2014). Obtenido de http://letconsultores.com/coaching-asesoria-consultoria-mentoring-cuando-como-y-para-que/</w:t>
              </w:r>
            </w:p>
            <w:p w:rsidR="007271DE" w:rsidRDefault="007271DE" w:rsidP="007271D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Universidad Católica de Santa María. (s.f.). Obtenido de https://www.ucsm.edu.pe/wp-content/uploads/2017/04/BASESMENTOR-vrinv.pdf</w:t>
              </w:r>
            </w:p>
            <w:p w:rsidR="007271DE" w:rsidRDefault="007271DE" w:rsidP="007271D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271DE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8A44D4" w:rsidRDefault="007271DE" w:rsidP="007271DE">
      <w:pPr>
        <w:jc w:val="both"/>
        <w:rPr>
          <w:rFonts w:cstheme="minorHAnsi"/>
          <w:noProof/>
          <w:sz w:val="24"/>
          <w:szCs w:val="24"/>
          <w:lang w:val="es-ES"/>
        </w:rPr>
      </w:pPr>
    </w:p>
    <w:p w:rsidR="007271DE" w:rsidRPr="00F746A9" w:rsidRDefault="007271DE" w:rsidP="0005707D">
      <w:pPr>
        <w:jc w:val="both"/>
      </w:pPr>
    </w:p>
    <w:sectPr w:rsidR="007271DE" w:rsidRPr="00F746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3D" w:rsidRDefault="00F4343D" w:rsidP="00C002CE">
      <w:pPr>
        <w:spacing w:after="0" w:line="240" w:lineRule="auto"/>
      </w:pPr>
      <w:r>
        <w:separator/>
      </w:r>
    </w:p>
  </w:endnote>
  <w:endnote w:type="continuationSeparator" w:id="0">
    <w:p w:rsidR="00F4343D" w:rsidRDefault="00F4343D" w:rsidP="00C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3D" w:rsidRDefault="00F4343D" w:rsidP="00C002CE">
      <w:pPr>
        <w:spacing w:after="0" w:line="240" w:lineRule="auto"/>
      </w:pPr>
      <w:r>
        <w:separator/>
      </w:r>
    </w:p>
  </w:footnote>
  <w:footnote w:type="continuationSeparator" w:id="0">
    <w:p w:rsidR="00F4343D" w:rsidRDefault="00F4343D" w:rsidP="00C0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CE" w:rsidRPr="00615833" w:rsidRDefault="00C002CE" w:rsidP="00C002CE">
    <w:pPr>
      <w:pStyle w:val="Encabezado"/>
      <w:jc w:val="center"/>
      <w:rPr>
        <w:rFonts w:ascii="Arial Rounded MT Bold" w:hAnsi="Arial Rounded MT Bold"/>
        <w:noProof/>
      </w:rPr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5A3D7E12" wp14:editId="041A63FD">
          <wp:simplePos x="0" y="0"/>
          <wp:positionH relativeFrom="column">
            <wp:posOffset>5216884</wp:posOffset>
          </wp:positionH>
          <wp:positionV relativeFrom="paragraph">
            <wp:posOffset>-182549</wp:posOffset>
          </wp:positionV>
          <wp:extent cx="668020" cy="6680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T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58B19AC2" wp14:editId="308ADC98">
          <wp:simplePos x="0" y="0"/>
          <wp:positionH relativeFrom="column">
            <wp:posOffset>-389641</wp:posOffset>
          </wp:positionH>
          <wp:positionV relativeFrom="paragraph">
            <wp:posOffset>-238125</wp:posOffset>
          </wp:positionV>
          <wp:extent cx="873211" cy="75057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37AA686" wp14:editId="13530C58">
          <wp:simplePos x="0" y="0"/>
          <wp:positionH relativeFrom="page">
            <wp:posOffset>5181600</wp:posOffset>
          </wp:positionH>
          <wp:positionV relativeFrom="paragraph">
            <wp:posOffset>-445770</wp:posOffset>
          </wp:positionV>
          <wp:extent cx="2736850" cy="10083703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ad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1008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833">
      <w:rPr>
        <w:rFonts w:ascii="Arial Rounded MT Bold" w:hAnsi="Arial Rounded MT Bold"/>
        <w:noProof/>
      </w:rPr>
      <w:t>MINISTERIO DE EDUCACIÓN PÚBLICA</w:t>
    </w:r>
  </w:p>
  <w:p w:rsidR="00C002CE" w:rsidRPr="00407471" w:rsidRDefault="00C002CE" w:rsidP="00C002CE">
    <w:pPr>
      <w:pStyle w:val="Encabezado"/>
      <w:jc w:val="center"/>
      <w:rPr>
        <w:rFonts w:ascii="Arial Rounded MT Std" w:hAnsi="Arial Rounded MT Std"/>
        <w:szCs w:val="27"/>
      </w:rPr>
    </w:pPr>
    <w:r w:rsidRPr="00407471">
      <w:rPr>
        <w:rFonts w:ascii="Arial Rounded MT Std" w:hAnsi="Arial Rounded MT Std"/>
        <w:szCs w:val="27"/>
      </w:rPr>
      <w:t>Viceministerio Académico</w:t>
    </w:r>
  </w:p>
  <w:p w:rsidR="00C002CE" w:rsidRDefault="00C002CE" w:rsidP="00C002CE">
    <w:pPr>
      <w:pStyle w:val="Encabezado"/>
      <w:jc w:val="center"/>
      <w:rPr>
        <w:rFonts w:ascii="Arial Rounded MT Std" w:hAnsi="Arial Rounded MT Std"/>
        <w:b/>
      </w:rPr>
    </w:pPr>
    <w:r w:rsidRPr="00BD7B57">
      <w:rPr>
        <w:rFonts w:ascii="Arial Rounded MT Std" w:hAnsi="Arial Rounded MT Std"/>
        <w:b/>
      </w:rPr>
      <w:t>Dirección de Educación Técnica y Capacidades Emprendedoras</w:t>
    </w:r>
  </w:p>
  <w:p w:rsidR="00C002CE" w:rsidRPr="00511F7B" w:rsidRDefault="00C002CE" w:rsidP="00C002CE">
    <w:pPr>
      <w:pStyle w:val="Encabezado"/>
      <w:jc w:val="center"/>
      <w:rPr>
        <w:rFonts w:ascii="Arial Rounded MT Std" w:hAnsi="Arial Rounded MT Std"/>
        <w:b/>
      </w:rPr>
    </w:pPr>
    <w:r w:rsidRPr="00511F7B">
      <w:rPr>
        <w:rFonts w:ascii="Arial Rounded MT Std" w:hAnsi="Arial Rounded MT Std"/>
        <w:b/>
      </w:rPr>
      <w:t>Departamento de Gestión de Empresas y Educación Cooperativa</w:t>
    </w:r>
  </w:p>
  <w:p w:rsidR="00C002CE" w:rsidRDefault="00C002CE">
    <w:pPr>
      <w:pStyle w:val="Encabezado"/>
    </w:pPr>
  </w:p>
  <w:p w:rsidR="00C002CE" w:rsidRDefault="00C002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256"/>
    <w:multiLevelType w:val="hybridMultilevel"/>
    <w:tmpl w:val="80363452"/>
    <w:lvl w:ilvl="0" w:tplc="094ACD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211"/>
    <w:multiLevelType w:val="hybridMultilevel"/>
    <w:tmpl w:val="EDAA43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CC1"/>
    <w:multiLevelType w:val="hybridMultilevel"/>
    <w:tmpl w:val="8160D44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57DE"/>
    <w:multiLevelType w:val="hybridMultilevel"/>
    <w:tmpl w:val="46DE44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206"/>
    <w:multiLevelType w:val="hybridMultilevel"/>
    <w:tmpl w:val="791477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158"/>
    <w:multiLevelType w:val="hybridMultilevel"/>
    <w:tmpl w:val="84CAAAF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749A1"/>
    <w:multiLevelType w:val="hybridMultilevel"/>
    <w:tmpl w:val="D14E4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7BE"/>
    <w:multiLevelType w:val="hybridMultilevel"/>
    <w:tmpl w:val="2F8A1C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23A"/>
    <w:multiLevelType w:val="hybridMultilevel"/>
    <w:tmpl w:val="291EEF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EF2"/>
    <w:multiLevelType w:val="hybridMultilevel"/>
    <w:tmpl w:val="742ACFEE"/>
    <w:lvl w:ilvl="0" w:tplc="14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347"/>
    <w:multiLevelType w:val="hybridMultilevel"/>
    <w:tmpl w:val="6B9841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32A69"/>
    <w:multiLevelType w:val="hybridMultilevel"/>
    <w:tmpl w:val="DE143844"/>
    <w:lvl w:ilvl="0" w:tplc="094ACD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7"/>
    <w:rsid w:val="00036D16"/>
    <w:rsid w:val="0004494C"/>
    <w:rsid w:val="0005707D"/>
    <w:rsid w:val="0009427E"/>
    <w:rsid w:val="00095136"/>
    <w:rsid w:val="00212DD0"/>
    <w:rsid w:val="00265ED3"/>
    <w:rsid w:val="002970CD"/>
    <w:rsid w:val="002D2898"/>
    <w:rsid w:val="003232B7"/>
    <w:rsid w:val="003406F6"/>
    <w:rsid w:val="00342029"/>
    <w:rsid w:val="00345556"/>
    <w:rsid w:val="00385FBF"/>
    <w:rsid w:val="003B4445"/>
    <w:rsid w:val="003C0562"/>
    <w:rsid w:val="00447ED7"/>
    <w:rsid w:val="0046665A"/>
    <w:rsid w:val="004E2D86"/>
    <w:rsid w:val="005A63B5"/>
    <w:rsid w:val="005B2C4C"/>
    <w:rsid w:val="005D1882"/>
    <w:rsid w:val="006E399B"/>
    <w:rsid w:val="006F6F44"/>
    <w:rsid w:val="007012E0"/>
    <w:rsid w:val="007271DE"/>
    <w:rsid w:val="007E1BF0"/>
    <w:rsid w:val="00846C25"/>
    <w:rsid w:val="008829DD"/>
    <w:rsid w:val="008A44D4"/>
    <w:rsid w:val="008C6982"/>
    <w:rsid w:val="008E6331"/>
    <w:rsid w:val="00920F8D"/>
    <w:rsid w:val="009422CF"/>
    <w:rsid w:val="00984BCC"/>
    <w:rsid w:val="009D65E9"/>
    <w:rsid w:val="009D6FC7"/>
    <w:rsid w:val="009E2314"/>
    <w:rsid w:val="009E5C78"/>
    <w:rsid w:val="009F705E"/>
    <w:rsid w:val="00A22FA6"/>
    <w:rsid w:val="00A74E8A"/>
    <w:rsid w:val="00A94C65"/>
    <w:rsid w:val="00AE1CEA"/>
    <w:rsid w:val="00AF1562"/>
    <w:rsid w:val="00B74E48"/>
    <w:rsid w:val="00C002CE"/>
    <w:rsid w:val="00C36AD9"/>
    <w:rsid w:val="00C509F7"/>
    <w:rsid w:val="00CC5989"/>
    <w:rsid w:val="00CC6895"/>
    <w:rsid w:val="00D926F7"/>
    <w:rsid w:val="00DB552D"/>
    <w:rsid w:val="00E02681"/>
    <w:rsid w:val="00E5173A"/>
    <w:rsid w:val="00E56AEA"/>
    <w:rsid w:val="00E7142F"/>
    <w:rsid w:val="00E76E5C"/>
    <w:rsid w:val="00EC02D0"/>
    <w:rsid w:val="00ED3B5E"/>
    <w:rsid w:val="00ED4B30"/>
    <w:rsid w:val="00F1770C"/>
    <w:rsid w:val="00F4343D"/>
    <w:rsid w:val="00F620DE"/>
    <w:rsid w:val="00F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0595C-22B3-4B0F-8C01-ADAFCC9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94C"/>
    <w:pPr>
      <w:ind w:left="720"/>
      <w:contextualSpacing/>
    </w:pPr>
    <w:rPr>
      <w:rFonts w:eastAsiaTheme="minorEastAsia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AF15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F4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6F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paragraph" w:styleId="Bibliografa">
    <w:name w:val="Bibliography"/>
    <w:basedOn w:val="Normal"/>
    <w:next w:val="Normal"/>
    <w:uiPriority w:val="37"/>
    <w:unhideWhenUsed/>
    <w:rsid w:val="006F6F44"/>
  </w:style>
  <w:style w:type="character" w:customStyle="1" w:styleId="Ttulo2Car">
    <w:name w:val="Título 2 Car"/>
    <w:basedOn w:val="Fuentedeprrafopredeter"/>
    <w:link w:val="Ttulo2"/>
    <w:uiPriority w:val="9"/>
    <w:rsid w:val="009D6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00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2CE"/>
  </w:style>
  <w:style w:type="paragraph" w:styleId="Piedepgina">
    <w:name w:val="footer"/>
    <w:basedOn w:val="Normal"/>
    <w:link w:val="PiedepginaCar"/>
    <w:uiPriority w:val="99"/>
    <w:unhideWhenUsed/>
    <w:rsid w:val="00C00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itt.go.cr/servicios/gestores-innov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Elf14</b:Tag>
    <b:SourceType>InternetSite</b:SourceType>
    <b:Guid>{AA4E5FA5-7FD7-442D-9F55-12E14FC0E444}</b:Guid>
    <b:Author>
      <b:Author>
        <b:Corporate>El financiero</b:Corporate>
      </b:Author>
    </b:Author>
    <b:Year>2014</b:Year>
    <b:Month>agosto</b:Month>
    <b:Day>31</b:Day>
    <b:URL>https://www.elfinancierocr.com/negocios/como-el-gestor-de-innovacion-puede-potenciar-su-empresa/XURXBZAAZBFL5P3KCXFTXJMJZE/story/</b:URL>
    <b:RefOrder>1</b:RefOrder>
  </b:Source>
  <b:Source>
    <b:Tag>MIC</b:Tag>
    <b:SourceType>InternetSite</b:SourceType>
    <b:Guid>{0BA67E4E-A665-420A-907E-C74C58ED27D1}</b:Guid>
    <b:Author>
      <b:Author>
        <b:Corporate>MICITT</b:Corporate>
      </b:Author>
    </b:Author>
    <b:URL>https://www.micitt.go.cr/servicios/gestores-innovacion</b:URL>
    <b:RefOrder>2</b:RefOrder>
  </b:Source>
  <b:Source>
    <b:Tag>Fer</b:Tag>
    <b:SourceType>InternetSite</b:SourceType>
    <b:Guid>{54375D6C-F2FD-4E94-8985-D5D6BC9AB95D}</b:Guid>
    <b:Author>
      <b:Author>
        <b:NameList>
          <b:Person>
            <b:Last>Conesa</b:Last>
            <b:First>Fernando</b:First>
          </b:Person>
        </b:NameList>
      </b:Author>
    </b:Author>
    <b:Title>redtransfer.org</b:Title>
    <b:URL>https://www.redtransfer.org/blog/perfiles-profesionales-en-gestion-de-la-innovacion/</b:URL>
    <b:RefOrder>3</b:RefOrder>
  </b:Source>
  <b:Source>
    <b:Tag>Uni</b:Tag>
    <b:SourceType>InternetSite</b:SourceType>
    <b:Guid>{A1C8042F-307A-445D-BDCB-C0748FBE443B}</b:Guid>
    <b:Author>
      <b:Author>
        <b:Corporate>Universidad Católica de Santa María</b:Corporate>
      </b:Author>
    </b:Author>
    <b:URL>https://www.ucsm.edu.pe/wp-content/uploads/2017/04/BASESMENTOR-vrinv.pdf</b:URL>
    <b:RefOrder>1</b:RefOrder>
  </b:Source>
  <b:Source>
    <b:Tag>IET14</b:Tag>
    <b:SourceType>InternetSite</b:SourceType>
    <b:Guid>{3E8F764F-B7DE-4FD6-A12F-E1B5A9BC463E}</b:Guid>
    <b:Author>
      <b:Author>
        <b:Corporate>IET consultores</b:Corporate>
      </b:Author>
    </b:Author>
    <b:Year>2014</b:Year>
    <b:Month>Diciembre</b:Month>
    <b:Day>2</b:Day>
    <b:URL>http://letconsultores.com/coaching-asesoria-consultoria-mentoring-cuando-como-y-para-que/</b:URL>
    <b:RefOrder>2</b:RefOrder>
  </b:Source>
</b:Sources>
</file>

<file path=customXml/itemProps1.xml><?xml version="1.0" encoding="utf-8"?>
<ds:datastoreItem xmlns:ds="http://schemas.openxmlformats.org/officeDocument/2006/customXml" ds:itemID="{222BB737-3783-4AFB-8422-56090D3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Solano Coto</dc:creator>
  <cp:keywords/>
  <dc:description/>
  <cp:lastModifiedBy>Nicolas Solano Coto</cp:lastModifiedBy>
  <cp:revision>8</cp:revision>
  <dcterms:created xsi:type="dcterms:W3CDTF">2021-08-11T19:28:00Z</dcterms:created>
  <dcterms:modified xsi:type="dcterms:W3CDTF">2022-03-02T20:14:00Z</dcterms:modified>
</cp:coreProperties>
</file>